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ind w:firstLine="880" w:firstLineChars="200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2021年1-1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月西乡塘区经济运行情况</w:t>
      </w:r>
    </w:p>
    <w:p>
      <w:pPr>
        <w:pStyle w:val="6"/>
        <w:spacing w:line="480" w:lineRule="exact"/>
        <w:ind w:firstLine="640" w:firstLineChars="200"/>
        <w:jc w:val="left"/>
        <w:rPr>
          <w:rFonts w:hint="eastAsia" w:ascii="方正小标宋简体" w:eastAsia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【工业】1-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bCs/>
          <w:sz w:val="32"/>
          <w:szCs w:val="32"/>
        </w:rPr>
        <w:t>月，西乡塘区规模以上工业总产值同比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3.5%</w:t>
      </w:r>
      <w:r>
        <w:rPr>
          <w:rFonts w:ascii="仿宋_GB2312" w:hAnsi="仿宋_GB2312" w:eastAsia="仿宋_GB2312" w:cs="仿宋_GB2312"/>
          <w:bCs/>
          <w:sz w:val="32"/>
          <w:szCs w:val="32"/>
        </w:rPr>
        <w:t>，规模以上工业增加值同比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10.3</w:t>
      </w:r>
      <w:r>
        <w:rPr>
          <w:rFonts w:ascii="仿宋_GB2312" w:hAnsi="仿宋_GB2312" w:eastAsia="仿宋_GB2312" w:cs="仿宋_GB2312"/>
          <w:bCs/>
          <w:sz w:val="32"/>
          <w:szCs w:val="32"/>
        </w:rPr>
        <w:t>%。</w:t>
      </w:r>
      <w:r>
        <w:rPr>
          <w:rFonts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bCs/>
          <w:sz w:val="32"/>
          <w:szCs w:val="32"/>
        </w:rPr>
        <w:t>按轻重行业分：轻工业同比增长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16.8</w:t>
      </w:r>
      <w:r>
        <w:rPr>
          <w:rFonts w:ascii="仿宋_GB2312" w:hAnsi="仿宋_GB2312" w:eastAsia="仿宋_GB2312" w:cs="仿宋_GB2312"/>
          <w:bCs/>
          <w:sz w:val="32"/>
          <w:szCs w:val="32"/>
        </w:rPr>
        <w:t>%；重工业同比下降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11.3</w:t>
      </w:r>
      <w:r>
        <w:rPr>
          <w:rFonts w:ascii="仿宋_GB2312" w:hAnsi="仿宋_GB2312" w:eastAsia="仿宋_GB2312" w:cs="仿宋_GB2312"/>
          <w:bCs/>
          <w:sz w:val="32"/>
          <w:szCs w:val="32"/>
        </w:rPr>
        <w:t>%。分经济类型看，国有企业产值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与去年同期持平</w:t>
      </w:r>
      <w:r>
        <w:rPr>
          <w:rFonts w:ascii="仿宋_GB2312" w:hAnsi="仿宋_GB2312" w:eastAsia="仿宋_GB2312" w:cs="仿宋_GB2312"/>
          <w:bCs/>
          <w:sz w:val="32"/>
          <w:szCs w:val="32"/>
        </w:rPr>
        <w:t>，股份制企业产值同比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1.3%</w:t>
      </w:r>
      <w:r>
        <w:rPr>
          <w:rFonts w:ascii="仿宋_GB2312" w:hAnsi="仿宋_GB2312" w:eastAsia="仿宋_GB2312" w:cs="仿宋_GB2312"/>
          <w:bCs/>
          <w:sz w:val="32"/>
          <w:szCs w:val="32"/>
        </w:rPr>
        <w:t>，外商及港澳台商投资企业产值同比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7.8</w:t>
      </w:r>
      <w:r>
        <w:rPr>
          <w:rFonts w:ascii="仿宋_GB2312" w:hAnsi="仿宋_GB2312" w:eastAsia="仿宋_GB2312" w:cs="仿宋_GB2312"/>
          <w:bCs/>
          <w:sz w:val="32"/>
          <w:szCs w:val="32"/>
        </w:rPr>
        <w:t>%，非公有企业产值同比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2.8%</w:t>
      </w:r>
      <w:r>
        <w:rPr>
          <w:rFonts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Cs/>
          <w:sz w:val="32"/>
          <w:szCs w:val="32"/>
        </w:rPr>
        <w:t>【贸易业】1-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ascii="仿宋_GB2312" w:hAnsi="仿宋_GB2312" w:eastAsia="仿宋_GB2312" w:cs="仿宋_GB2312"/>
          <w:bCs/>
          <w:sz w:val="32"/>
          <w:szCs w:val="32"/>
        </w:rPr>
        <w:t>月，限上社会消费品零售总额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105.64</w:t>
      </w:r>
      <w:r>
        <w:rPr>
          <w:rFonts w:ascii="仿宋_GB2312" w:hAnsi="仿宋_GB2312" w:eastAsia="仿宋_GB2312" w:cs="仿宋_GB2312"/>
          <w:bCs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bCs/>
          <w:sz w:val="32"/>
          <w:szCs w:val="32"/>
        </w:rPr>
        <w:t>%。</w:t>
      </w:r>
      <w:r>
        <w:rPr>
          <w:rFonts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bCs/>
          <w:sz w:val="32"/>
          <w:szCs w:val="32"/>
        </w:rPr>
        <w:t>限上批发业销售额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153.73</w:t>
      </w:r>
      <w:r>
        <w:rPr>
          <w:rFonts w:ascii="仿宋_GB2312" w:hAnsi="仿宋_GB2312" w:eastAsia="仿宋_GB2312" w:cs="仿宋_GB2312"/>
          <w:bCs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32.6</w:t>
      </w:r>
      <w:r>
        <w:rPr>
          <w:rFonts w:ascii="仿宋_GB2312" w:hAnsi="仿宋_GB2312" w:eastAsia="仿宋_GB2312" w:cs="仿宋_GB2312"/>
          <w:bCs/>
          <w:sz w:val="32"/>
          <w:szCs w:val="32"/>
        </w:rPr>
        <w:t>%；限上零售业销售额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119.95</w:t>
      </w:r>
      <w:r>
        <w:rPr>
          <w:rFonts w:ascii="仿宋_GB2312" w:hAnsi="仿宋_GB2312" w:eastAsia="仿宋_GB2312" w:cs="仿宋_GB2312"/>
          <w:bCs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18.2</w:t>
      </w:r>
      <w:r>
        <w:rPr>
          <w:rFonts w:ascii="仿宋_GB2312" w:hAnsi="仿宋_GB2312" w:eastAsia="仿宋_GB2312" w:cs="仿宋_GB2312"/>
          <w:bCs/>
          <w:sz w:val="32"/>
          <w:szCs w:val="32"/>
        </w:rPr>
        <w:t>%；限上住宿业营业额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1.91</w:t>
      </w:r>
      <w:r>
        <w:rPr>
          <w:rFonts w:ascii="仿宋_GB2312" w:hAnsi="仿宋_GB2312" w:eastAsia="仿宋_GB2312" w:cs="仿宋_GB2312"/>
          <w:bCs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7.3</w:t>
      </w:r>
      <w:r>
        <w:rPr>
          <w:rFonts w:ascii="仿宋_GB2312" w:hAnsi="仿宋_GB2312" w:eastAsia="仿宋_GB2312" w:cs="仿宋_GB2312"/>
          <w:bCs/>
          <w:sz w:val="32"/>
          <w:szCs w:val="32"/>
        </w:rPr>
        <w:t>%；限上餐饮业营业额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3.87</w:t>
      </w:r>
      <w:r>
        <w:rPr>
          <w:rFonts w:ascii="仿宋_GB2312" w:hAnsi="仿宋_GB2312" w:eastAsia="仿宋_GB2312" w:cs="仿宋_GB2312"/>
          <w:bCs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35.7</w:t>
      </w:r>
      <w:r>
        <w:rPr>
          <w:rFonts w:ascii="仿宋_GB2312" w:hAnsi="仿宋_GB2312" w:eastAsia="仿宋_GB2312" w:cs="仿宋_GB2312"/>
          <w:bCs/>
          <w:sz w:val="32"/>
          <w:szCs w:val="32"/>
        </w:rPr>
        <w:t>%。</w:t>
      </w:r>
      <w:r>
        <w:rPr>
          <w:rFonts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bCs/>
          <w:sz w:val="32"/>
          <w:szCs w:val="32"/>
        </w:rPr>
        <w:t>【固定资产投资】1-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bCs/>
          <w:sz w:val="32"/>
          <w:szCs w:val="32"/>
        </w:rPr>
        <w:t>月，固定资产投资同比下降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7.3</w:t>
      </w:r>
      <w:r>
        <w:rPr>
          <w:rFonts w:ascii="仿宋_GB2312" w:hAnsi="仿宋_GB2312" w:eastAsia="仿宋_GB2312" w:cs="仿宋_GB2312"/>
          <w:bCs/>
          <w:sz w:val="32"/>
          <w:szCs w:val="32"/>
        </w:rPr>
        <w:t>%。其中，项目投资同比增长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28.9</w:t>
      </w:r>
      <w:r>
        <w:rPr>
          <w:rFonts w:ascii="仿宋_GB2312" w:hAnsi="仿宋_GB2312" w:eastAsia="仿宋_GB2312" w:cs="仿宋_GB2312"/>
          <w:bCs/>
          <w:sz w:val="32"/>
          <w:szCs w:val="32"/>
        </w:rPr>
        <w:t>%，分项目看，5000万以上项目投资同比增长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36.3</w:t>
      </w:r>
      <w:r>
        <w:rPr>
          <w:rFonts w:ascii="仿宋_GB2312" w:hAnsi="仿宋_GB2312" w:eastAsia="仿宋_GB2312" w:cs="仿宋_GB2312"/>
          <w:bCs/>
          <w:sz w:val="32"/>
          <w:szCs w:val="32"/>
        </w:rPr>
        <w:t>%，5000万以下项目投资同比下降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37</w:t>
      </w:r>
      <w:r>
        <w:rPr>
          <w:rFonts w:ascii="仿宋_GB2312" w:hAnsi="仿宋_GB2312" w:eastAsia="仿宋_GB2312" w:cs="仿宋_GB2312"/>
          <w:bCs/>
          <w:sz w:val="32"/>
          <w:szCs w:val="32"/>
        </w:rPr>
        <w:t>%。房地产开发投资同比下降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40.6</w:t>
      </w:r>
      <w:r>
        <w:rPr>
          <w:rFonts w:ascii="仿宋_GB2312" w:hAnsi="仿宋_GB2312" w:eastAsia="仿宋_GB2312" w:cs="仿宋_GB2312"/>
          <w:bCs/>
          <w:sz w:val="32"/>
          <w:szCs w:val="32"/>
        </w:rPr>
        <w:t>%，民间投资同比下降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37.7</w:t>
      </w:r>
      <w:r>
        <w:rPr>
          <w:rFonts w:ascii="仿宋_GB2312" w:hAnsi="仿宋_GB2312" w:eastAsia="仿宋_GB2312" w:cs="仿宋_GB2312"/>
          <w:bCs/>
          <w:sz w:val="32"/>
          <w:szCs w:val="32"/>
        </w:rPr>
        <w:t>%，工业投资同比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11.9</w:t>
      </w:r>
      <w:r>
        <w:rPr>
          <w:rFonts w:ascii="仿宋_GB2312" w:hAnsi="仿宋_GB2312" w:eastAsia="仿宋_GB2312" w:cs="仿宋_GB2312"/>
          <w:bCs/>
          <w:sz w:val="32"/>
          <w:szCs w:val="32"/>
        </w:rPr>
        <w:t>%，建安工程投资同比增长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7.9</w:t>
      </w:r>
      <w:r>
        <w:rPr>
          <w:rFonts w:ascii="仿宋_GB2312" w:hAnsi="仿宋_GB2312" w:eastAsia="仿宋_GB2312" w:cs="仿宋_GB2312"/>
          <w:bCs/>
          <w:sz w:val="32"/>
          <w:szCs w:val="32"/>
        </w:rPr>
        <w:t>%。</w:t>
      </w:r>
      <w:r>
        <w:rPr>
          <w:rFonts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ascii="仿宋_GB2312" w:hAnsi="仿宋_GB2312" w:eastAsia="仿宋_GB2312" w:cs="仿宋_GB2312"/>
          <w:bCs/>
          <w:sz w:val="32"/>
          <w:szCs w:val="32"/>
        </w:rPr>
        <w:t>商品房销售面积完成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5.15</w:t>
      </w:r>
      <w:r>
        <w:rPr>
          <w:rFonts w:ascii="仿宋_GB2312" w:hAnsi="仿宋_GB2312" w:eastAsia="仿宋_GB2312" w:cs="仿宋_GB2312"/>
          <w:bCs/>
          <w:sz w:val="32"/>
          <w:szCs w:val="32"/>
        </w:rPr>
        <w:t>万平米，同比下降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19.3</w:t>
      </w:r>
      <w:r>
        <w:rPr>
          <w:rFonts w:ascii="仿宋_GB2312" w:hAnsi="仿宋_GB2312" w:eastAsia="仿宋_GB2312" w:cs="仿宋_GB2312"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C388B"/>
    <w:rsid w:val="19AC388B"/>
    <w:rsid w:val="494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widowControl w:val="0"/>
      <w:spacing w:before="240" w:after="60" w:line="540" w:lineRule="exact"/>
      <w:ind w:firstLine="880" w:firstLineChars="200"/>
      <w:jc w:val="center"/>
      <w:outlineLvl w:val="0"/>
    </w:pPr>
    <w:rPr>
      <w:rFonts w:ascii="Cambria" w:hAnsi="Cambria" w:eastAsia="仿宋_GB2312"/>
      <w:b/>
      <w:bCs/>
      <w:kern w:val="2"/>
      <w:sz w:val="32"/>
      <w:szCs w:val="32"/>
    </w:rPr>
  </w:style>
  <w:style w:type="paragraph" w:customStyle="1" w:styleId="5">
    <w:name w:val="标题样式"/>
    <w:next w:val="1"/>
    <w:qFormat/>
    <w:uiPriority w:val="0"/>
    <w:pPr>
      <w:adjustRightInd w:val="0"/>
      <w:snapToGrid w:val="0"/>
      <w:spacing w:before="240" w:after="60"/>
      <w:jc w:val="center"/>
    </w:pPr>
    <w:rPr>
      <w:rFonts w:ascii="Cambria" w:hAnsi="Cambria" w:eastAsia="微软雅黑" w:cs="Times New Roman"/>
      <w:b/>
      <w:bCs/>
      <w:sz w:val="22"/>
      <w:szCs w:val="32"/>
      <w:lang w:val="en-US" w:eastAsia="zh-CN" w:bidi="ar-SA"/>
    </w:rPr>
  </w:style>
  <w:style w:type="paragraph" w:customStyle="1" w:styleId="6">
    <w:name w:val="表头"/>
    <w:basedOn w:val="1"/>
    <w:qFormat/>
    <w:uiPriority w:val="0"/>
    <w:pPr>
      <w:widowControl/>
      <w:snapToGrid w:val="0"/>
      <w:jc w:val="center"/>
    </w:pPr>
    <w:rPr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2022-01-10T08:27:00Z</dcterms:created>
  <dc:creator>Administrator</dc:creator>
  <cp:lastModifiedBy>Administrator</cp:lastModifiedBy>
  <dcterms:modified xsi:type="dcterms:W3CDTF">2022-01-10T08:36:08Z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C3419902BA154871A3AECE239705A295</vt:lpwstr>
  </property>
</Properties>
</file>